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6A" w:rsidRPr="004B17A0" w:rsidRDefault="00A3626A" w:rsidP="00A3626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  <w:r w:rsidRPr="004B17A0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Методи</w:t>
      </w:r>
      <w:bookmarkStart w:id="0" w:name="_GoBack"/>
      <w:bookmarkEnd w:id="0"/>
      <w:r w:rsidRPr="004B17A0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ка оценки квалификации сварщика</w:t>
      </w:r>
    </w:p>
    <w:p w:rsidR="00A3626A" w:rsidRPr="004B17A0" w:rsidRDefault="00A3626A" w:rsidP="00A362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B17A0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lang w:eastAsia="ru-RU"/>
        </w:rPr>
        <w:t>15.03.2017 - </w:t>
      </w:r>
      <w:r w:rsidRPr="004B17A0">
        <w:rPr>
          <w:rFonts w:ascii="Times New Roman" w:eastAsia="Times New Roman" w:hAnsi="Times New Roman" w:cs="Times New Roman"/>
          <w:noProof/>
          <w:sz w:val="33"/>
          <w:szCs w:val="33"/>
          <w:lang w:eastAsia="ru-RU"/>
        </w:rPr>
        <w:t xml:space="preserve"> </w:t>
      </w:r>
    </w:p>
    <w:p w:rsidR="00A3626A" w:rsidRPr="004B17A0" w:rsidRDefault="00A3626A" w:rsidP="00A3626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17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1.1 Методика оценки практических навыков сварщиков применяется при оценке квалификации сварщиков при сварке плавлением способами РД, РАД, МП, МАДП, </w:t>
      </w:r>
      <w:r w:rsidR="00C34F9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r w:rsidR="00E479D3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иными дуговыми способами сварки</w:t>
      </w:r>
      <w:r w:rsidR="00C34F9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Методика),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разработана на основе патентов: Патент РФ №2569276 «Способ оценки квалификации сварщика»; Патент РФ №2550673 «Устройство для оценки качества сварного шва»; Патент РФ №2644617 «Мобильный сканер для определения качества поверхности сварного шва».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1.2. Методика разработана с целью подтверждения соответствия требований предъявляемых к квалификации практических навыков сварщиков характеру и виду выполняемых работ, прописанных в положениях: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федеральных норм и правил «Требования к производству сварочных работ на опасных производственных объектах» введенных приказом федерального агентства по экологическому, технологическому и атомному надзору» от 14.марта 2014 года приказ № 102;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профессиональных стандарта «Сварщик», утвержденный Приказом Министерства труда и социальной защиты РФ от 28 ноября 2013 г. N 701н;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ЕТКС Выпуск 2. Часть №1 Утвержден Постановлением Минтруда РФ от 15.11.1999 N 45(в редакции Приказа Минздравсоцразвития РФ от 13.11.2008 N 645);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стандартов организаций;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договоров на выполнение услуг.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1.3.Задачи Методики: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определить квалификацию практических навыков сварщика цифровым индексом в интервале значений от 0 до 100;</w:t>
      </w:r>
    </w:p>
    <w:p w:rsidR="00A3626A" w:rsidRPr="004B17A0" w:rsidRDefault="000872FC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рассчитать значение Индекса Квалификации С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варщика</w:t>
      </w:r>
      <w:r w:rsidR="00C34F9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(ИКС)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лицевой и корневой поверхности сварного шва КСС, без участия человека;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документально оформить результаты подтверждения соответствия требований п.1.2 сертификатом, свидетельством или протоколом оценки практических навыков сварщика.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Методика баз</w:t>
      </w:r>
      <w:r w:rsidR="00C34F9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ируется на сравнении расчетной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эталонной формы лицевой и корневой поверхности сварного шва с формой лицевой и корневой цифровой реплик реального сварного шва</w:t>
      </w:r>
      <w:r w:rsidR="000872F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 выполненного сварщиком</w:t>
      </w:r>
      <w:r w:rsidR="00C34F9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(р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ис.1) с применением технологии 3D лазерной диагностики формы поверхности сварного шва далее (технологии 3DLD) и разработана таким образом, что она: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а) без участия человека с использование современного цифрового оборудования, компьютерного моделирования и специального программного обеспечения позволяет объективно оценивать практические навыки сварщиков при сварке плавлением;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предметно ориентирована на производство сварной продукции</w:t>
      </w:r>
      <w:r w:rsidR="000872F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 обучение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872F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 оценку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квалификации </w:t>
      </w:r>
      <w:r w:rsidR="000872F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сварщиков,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проведени</w:t>
      </w:r>
      <w:r w:rsidR="000872F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конкурсов сварщиков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в) 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идентифицирует практические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навыки сварщика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цифровым </w:t>
      </w:r>
      <w:r w:rsidR="00F77A1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критерием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="00C34F9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КС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(рис.1);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г) позволяет подтвердить соответствие практических навыков сварщиков при сварке плавлением требованиям национальных, международных, профессиональных стандартов, положений настоящей Методики и специальных требований Заявителя цифровым значением ИКС.</w:t>
      </w:r>
    </w:p>
    <w:p w:rsidR="00A972BD" w:rsidRPr="004B17A0" w:rsidRDefault="00A972BD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3626A" w:rsidRPr="004B17A0" w:rsidRDefault="00A972BD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1" wp14:anchorId="19DD39F4" wp14:editId="57050EFF">
            <wp:simplePos x="0" y="0"/>
            <wp:positionH relativeFrom="column">
              <wp:posOffset>-1833</wp:posOffset>
            </wp:positionH>
            <wp:positionV relativeFrom="paragraph">
              <wp:posOffset>-1677</wp:posOffset>
            </wp:positionV>
            <wp:extent cx="5939155" cy="2070100"/>
            <wp:effectExtent l="0" t="0" r="4445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QW</m:t>
        </m:r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100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N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откл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э</m:t>
                        </m:r>
                      </m:sup>
                    </m:sSup>
                  </m:den>
                </m:f>
              </m:e>
            </m:d>
          </m:e>
        </m:nary>
      </m:oMath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Рис.1. Расчетная схема </w:t>
      </w:r>
      <w:r w:rsidR="00A972B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определения Индекса Квалификации Сварщика </w:t>
      </w:r>
    </w:p>
    <w:p w:rsidR="00A3626A" w:rsidRPr="004B17A0" w:rsidRDefault="00A3626A" w:rsidP="00A3626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17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Термины и определения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целей настоящей методики используются следующие основные понятия: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Заявитель</w:t>
      </w:r>
      <w:r w:rsidR="00491B3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– физическое или юридическое лицо, выполняющее сварочные работы или претендующее на право выполнения сварочных работ;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Оценка квалификации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– прямое или косвенное определение соблюдения </w:t>
      </w:r>
      <w:r w:rsidR="00252D49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требований,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предъявляемых к практическим навыкам сварщика, выполняющим работы или претендующим на право выполнения сварочных работ;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Подтверждение соответствия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документальное удостоверение соответствия квалификации практических навыков сварщиков требованиям положений национальных, международных, профессиональных стандартов, положениями настоящей методики и специальных требований Заявителя;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ИКС</w:t>
      </w:r>
      <w:r w:rsidRPr="004B17A0">
        <w:rPr>
          <w:rFonts w:ascii="Times New Roman" w:eastAsia="Times New Roman" w:hAnsi="Times New Roman" w:cs="Times New Roman"/>
          <w:b/>
          <w:bCs/>
          <w:sz w:val="33"/>
          <w:szCs w:val="33"/>
          <w:bdr w:val="none" w:sz="0" w:space="0" w:color="auto" w:frame="1"/>
          <w:lang w:eastAsia="ru-RU"/>
        </w:rPr>
        <w:t> 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– индекс квали</w:t>
      </w:r>
      <w:r w:rsidR="00F44615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фикации сварщика, определяемый по технологии 3</w:t>
      </w:r>
      <w:r w:rsidR="00F44615"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DLD</w:t>
      </w:r>
      <w:r w:rsidR="00F16B7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17688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ИКС </w:t>
      </w:r>
      <w:r w:rsidR="00F16B7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может принимать значения от 0 до 100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КСС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квалификационное сварное соединение, выполненное сварщиком по типовой технологической карте, достаточное для определения ИКС;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Квалификация практических навыков</w:t>
      </w:r>
      <w:r w:rsidRPr="004B17A0">
        <w:rPr>
          <w:rFonts w:ascii="Times New Roman" w:eastAsia="Times New Roman" w:hAnsi="Times New Roman" w:cs="Times New Roman"/>
          <w:b/>
          <w:bCs/>
          <w:sz w:val="33"/>
          <w:szCs w:val="33"/>
          <w:bdr w:val="none" w:sz="0" w:space="0" w:color="auto" w:frame="1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t>сварщика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– способность (умение) с</w:t>
      </w:r>
      <w:r w:rsidR="00252D49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варщика формировать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лицевую и корневую поверхность сварного шва, заданных размеров из заданных материалов в заданном пространственном положении сварного соединения, характеризуемая </w:t>
      </w:r>
      <w:r w:rsidR="00252D49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цифровым критерием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ИКС;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B17A0">
        <w:rPr>
          <w:rFonts w:ascii="Times New Roman" w:eastAsia="Times New Roman" w:hAnsi="Times New Roman" w:cs="Times New Roman"/>
          <w:bCs/>
          <w:sz w:val="33"/>
          <w:szCs w:val="33"/>
          <w:bdr w:val="none" w:sz="0" w:space="0" w:color="auto" w:frame="1"/>
          <w:lang w:eastAsia="ru-RU"/>
        </w:rPr>
        <w:lastRenderedPageBreak/>
        <w:t>Технология 3DLD</w:t>
      </w:r>
      <w:r w:rsidRPr="004B17A0">
        <w:rPr>
          <w:rFonts w:ascii="Times New Roman" w:eastAsia="Times New Roman" w:hAnsi="Times New Roman" w:cs="Times New Roman"/>
          <w:b/>
          <w:bCs/>
          <w:sz w:val="33"/>
          <w:szCs w:val="33"/>
          <w:bdr w:val="none" w:sz="0" w:space="0" w:color="auto" w:frame="1"/>
          <w:lang w:eastAsia="ru-RU"/>
        </w:rPr>
        <w:t> </w:t>
      </w:r>
      <w:r w:rsidRPr="004B17A0">
        <w:rPr>
          <w:rFonts w:ascii="Times New Roman" w:eastAsia="Times New Roman" w:hAnsi="Times New Roman" w:cs="Times New Roman"/>
          <w:lang w:eastAsia="ru-RU"/>
        </w:rPr>
        <w:t>–</w:t>
      </w:r>
      <w:r w:rsidR="00A333DB" w:rsidRPr="004B17A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33DB" w:rsidRPr="004B17A0">
        <w:rPr>
          <w:rFonts w:ascii="Times New Roman" w:hAnsi="Times New Roman" w:cs="Times New Roman"/>
        </w:rPr>
        <w:t>человеко-машинный метод, основанный на лазерном сканировании поверхности сварного шва, получении его цифровой реплики, сравнении цифровой реплики с расчетной эталонной формой поверхности сварного шва, оценки качества формы поверхности сварного шва или отдельных несоответствий геометрических параметров формы шва, установленных в НТД, формировании отчетной документации.</w:t>
      </w:r>
    </w:p>
    <w:p w:rsidR="00A333DB" w:rsidRPr="004B17A0" w:rsidRDefault="00A333DB" w:rsidP="00A333DB">
      <w:pPr>
        <w:rPr>
          <w:rFonts w:ascii="Times New Roman" w:eastAsia="Calibri" w:hAnsi="Times New Roman" w:cs="Times New Roman"/>
          <w:sz w:val="24"/>
          <w:szCs w:val="24"/>
        </w:rPr>
      </w:pPr>
      <w:r w:rsidRPr="004B17A0">
        <w:rPr>
          <w:rFonts w:ascii="Times New Roman" w:eastAsia="Calibri" w:hAnsi="Times New Roman" w:cs="Times New Roman"/>
          <w:sz w:val="33"/>
          <w:szCs w:val="33"/>
        </w:rPr>
        <w:t>Цифровая реплика</w:t>
      </w:r>
      <w:r w:rsidRPr="004B17A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B17A0">
        <w:rPr>
          <w:rFonts w:ascii="Times New Roman" w:eastAsia="Calibri" w:hAnsi="Times New Roman" w:cs="Times New Roman"/>
        </w:rPr>
        <w:t>упорядоченный файл координат точек поверхности сварного шва, полученный аналогово цифровым преобразованием реального сварного шва с применением аппаратных средств 3DLD.</w:t>
      </w:r>
    </w:p>
    <w:p w:rsidR="00A333DB" w:rsidRPr="004B17A0" w:rsidRDefault="00A333DB" w:rsidP="00A333DB">
      <w:pPr>
        <w:rPr>
          <w:rFonts w:ascii="Times New Roman" w:eastAsia="Calibri" w:hAnsi="Times New Roman" w:cs="Times New Roman"/>
        </w:rPr>
      </w:pPr>
      <w:r w:rsidRPr="004B17A0">
        <w:rPr>
          <w:rFonts w:ascii="Times New Roman" w:hAnsi="Times New Roman" w:cs="Times New Roman"/>
          <w:sz w:val="32"/>
          <w:szCs w:val="32"/>
        </w:rPr>
        <w:t>Аппаратные средства 3</w:t>
      </w:r>
      <w:r w:rsidRPr="004B17A0">
        <w:rPr>
          <w:rFonts w:ascii="Times New Roman" w:hAnsi="Times New Roman" w:cs="Times New Roman"/>
          <w:sz w:val="32"/>
          <w:szCs w:val="32"/>
          <w:lang w:val="en-US"/>
        </w:rPr>
        <w:t>DLD</w:t>
      </w:r>
      <w:r w:rsidRPr="004B17A0">
        <w:rPr>
          <w:rFonts w:ascii="Times New Roman" w:hAnsi="Times New Roman" w:cs="Times New Roman"/>
          <w:sz w:val="24"/>
          <w:szCs w:val="24"/>
        </w:rPr>
        <w:t xml:space="preserve"> – </w:t>
      </w:r>
      <w:r w:rsidRPr="004B17A0">
        <w:rPr>
          <w:rFonts w:ascii="Times New Roman" w:hAnsi="Times New Roman" w:cs="Times New Roman"/>
        </w:rPr>
        <w:t>технические устройства, включающие лазерный датчик, аппаратуру лазерного сканирования, аппаратуру передачи данных от сканера в компьютер, компьютер для обработки сканированных данных, устройства для визуализации и оформления результатов оценки, устройства для архивирования результатов оценки.</w:t>
      </w:r>
    </w:p>
    <w:p w:rsidR="00A333DB" w:rsidRPr="004B17A0" w:rsidRDefault="00A333DB" w:rsidP="00A333DB">
      <w:pPr>
        <w:spacing w:after="200" w:line="276" w:lineRule="auto"/>
        <w:rPr>
          <w:rFonts w:ascii="Times New Roman" w:eastAsia="Calibri" w:hAnsi="Times New Roman" w:cs="Times New Roman"/>
        </w:rPr>
      </w:pPr>
      <w:r w:rsidRPr="004B17A0">
        <w:rPr>
          <w:rFonts w:ascii="Times New Roman" w:eastAsia="Calibri" w:hAnsi="Times New Roman" w:cs="Times New Roman"/>
          <w:sz w:val="32"/>
          <w:szCs w:val="32"/>
        </w:rPr>
        <w:t>Эталонная форма поверхности сварного шва</w:t>
      </w:r>
      <w:r w:rsidRPr="004B17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17A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B17A0">
        <w:rPr>
          <w:rFonts w:ascii="Times New Roman" w:eastAsia="Calibri" w:hAnsi="Times New Roman" w:cs="Times New Roman"/>
        </w:rPr>
        <w:t xml:space="preserve">упорядоченный файл координат точек бездефектной поверхности сварного шва рассчитанной по физико-математической модели с учетом физико-механических свойств расплавленного материала сварного шва, пространственного положения сварного шва при сварке, </w:t>
      </w:r>
      <w:r w:rsidR="00D14A72" w:rsidRPr="004B17A0">
        <w:rPr>
          <w:rFonts w:ascii="Times New Roman" w:eastAsia="Calibri" w:hAnsi="Times New Roman" w:cs="Times New Roman"/>
        </w:rPr>
        <w:t>з</w:t>
      </w:r>
      <w:r w:rsidRPr="004B17A0">
        <w:rPr>
          <w:rFonts w:ascii="Times New Roman" w:eastAsia="Calibri" w:hAnsi="Times New Roman" w:cs="Times New Roman"/>
        </w:rPr>
        <w:t>аданными значениями ширины (катетов для углового) и высоты сварного шва.</w:t>
      </w:r>
    </w:p>
    <w:p w:rsidR="00A3626A" w:rsidRPr="004B17A0" w:rsidRDefault="00A333DB" w:rsidP="00A3626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17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 w:rsidR="00A3626A" w:rsidRPr="004B17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Порядок оценки квалификации сварщиков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.1. При представлении к оценке квалификации практических навыков сварщика Заявитель направляет в ООО ДИЦ «МОСТ» заявк</w:t>
      </w:r>
      <w:r w:rsidR="004B671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 для каждого способа сварки установленной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ф</w:t>
      </w:r>
      <w:r w:rsidR="004B671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ормы.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.2.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заполнении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заявки на оценку квалификации практических навыков сварщика необходимо сообщить следующую информацию: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идентификатор сварщика (</w:t>
      </w:r>
      <w:r w:rsidR="005838D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Ф.И.О.; </w:t>
      </w:r>
      <w:r w:rsidR="005838DB"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e</w:t>
      </w:r>
      <w:r w:rsidR="005838D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="005838DB"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mail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0638F6" w:rsidRPr="004B17A0" w:rsidRDefault="000638F6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— фото сварщика в электронном виде (формат 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jpeg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png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квалификационный разряд по ЕТКС;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виды (способы) сварки;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марку основного материала;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вид свариваемых деталей;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толщину свариваемых деталей, мм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диаметр свариваемых деталей, мм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присадочные материалы;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положение при сварке;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тип сварного шва;</w:t>
      </w:r>
    </w:p>
    <w:p w:rsidR="00A3626A" w:rsidRPr="004B17A0" w:rsidRDefault="00D14A72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типовую</w:t>
      </w:r>
      <w:r w:rsidR="004B671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технологическую карту сварки КСС, установленной формы.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.3. В соответствие с заявкой по типовой технологиче</w:t>
      </w:r>
      <w:r w:rsidR="007A187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ской карте сварщиком выполняет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КСС.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договоренности с Заявителем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ООО ДИЦ «МОСТ» мож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ет разработать специальные карты технологического процесса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сварки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WPS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4B671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КСС.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.4. Сварщик, проходящий испытания по нескольким способам, выполняет КСС по каждому способу сварки.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.5. При сварке КСС сварщик должен выполнить все требования 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карты технологического процесс и соблюдать следующие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условия: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время выполнения КСС не должно превышать установленного норматива;</w:t>
      </w:r>
    </w:p>
    <w:p w:rsidR="00A3626A" w:rsidRPr="004B17A0" w:rsidRDefault="005E1AAC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—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имеет право зачищать абразивным инструментом поверхности корневого и облицовочного шва после сварки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.6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Сотрудник ООО ДИЦ «МОСТ» обязан контролировать процесс сборки и сварки КСС, и имеет право прервать процесс, если сварщик нарушает требования технологической карты.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.7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Свариваемые и присадочные или наплавочные материалы, применяемые при сварке КСС, должны иметь сертификат завода — изготовителя сварочных материалов.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.8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Сварочное оборудование, применяемое для сварки 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КСС, должно быть сертифицировано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 иметь контрольно-измерительные приборы и быть в исправном состоянии.</w:t>
      </w:r>
    </w:p>
    <w:p w:rsidR="00A3626A" w:rsidRPr="004B17A0" w:rsidRDefault="00901064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81D1FCE" wp14:editId="105A1381">
            <wp:simplePos x="0" y="0"/>
            <wp:positionH relativeFrom="column">
              <wp:posOffset>3077444</wp:posOffset>
            </wp:positionH>
            <wp:positionV relativeFrom="paragraph">
              <wp:posOffset>511844</wp:posOffset>
            </wp:positionV>
            <wp:extent cx="2752725" cy="1926590"/>
            <wp:effectExtent l="0" t="0" r="9525" b="0"/>
            <wp:wrapTopAndBottom/>
            <wp:docPr id="32" name="Рисунок 32" descr="C:\Сайт 3DLD заметки\Проведение конкурсов\Мобильный ск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Сайт 3DLD заметки\Проведение конкурсов\Мобильный скан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7A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AAB0477" wp14:editId="3DD749CF">
            <wp:simplePos x="0" y="0"/>
            <wp:positionH relativeFrom="column">
              <wp:posOffset>2976245</wp:posOffset>
            </wp:positionH>
            <wp:positionV relativeFrom="paragraph">
              <wp:posOffset>2532380</wp:posOffset>
            </wp:positionV>
            <wp:extent cx="3027045" cy="1452880"/>
            <wp:effectExtent l="0" t="0" r="1905" b="0"/>
            <wp:wrapTopAndBottom/>
            <wp:docPr id="34" name="Рисунок 34" descr="C:\Сайт 3DLD заметки\Проведение конкурсов\Робоскане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Сайт 3DLD заметки\Проведение конкурсов\Робосканер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7A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737585A" wp14:editId="7145397A">
            <wp:simplePos x="0" y="0"/>
            <wp:positionH relativeFrom="margin">
              <wp:posOffset>-20320</wp:posOffset>
            </wp:positionH>
            <wp:positionV relativeFrom="paragraph">
              <wp:posOffset>2547620</wp:posOffset>
            </wp:positionV>
            <wp:extent cx="2926080" cy="1433195"/>
            <wp:effectExtent l="0" t="0" r="7620" b="0"/>
            <wp:wrapTopAndBottom/>
            <wp:docPr id="33" name="Рисунок 33" descr="C:\Сайт 3DLD заметки\Проведение конкурсов\Сканер плас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Сайт 3DLD заметки\Проведение конкурсов\Сканер пласти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7A0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 wp14:anchorId="07BAF3C9" wp14:editId="2A27203E">
            <wp:simplePos x="0" y="0"/>
            <wp:positionH relativeFrom="margin">
              <wp:align>left</wp:align>
            </wp:positionH>
            <wp:positionV relativeFrom="paragraph">
              <wp:posOffset>478155</wp:posOffset>
            </wp:positionV>
            <wp:extent cx="2694940" cy="2042795"/>
            <wp:effectExtent l="0" t="0" r="0" b="0"/>
            <wp:wrapTopAndBottom/>
            <wp:docPr id="31" name="Рисунок 31" descr="C:\Сайт 3DLD заметки\Проведение конкурсов\Сканер т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Сайт 3DLD заметки\Проведение конкурсов\Сканер тру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B28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.9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Лицевая и корневая поверхность сварного шва КСС подлежат сканированию по технологии 3DLD. КСС сканируются с применением оборудовани</w:t>
      </w:r>
      <w:r w:rsidR="004A3B28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для </w:t>
      </w:r>
      <w:r w:rsidR="005E1AAC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лазерного сканирования (рис.2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  <w:r w:rsidR="00E32CE7" w:rsidRPr="004B17A0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</w:p>
    <w:p w:rsidR="00E32CE7" w:rsidRPr="004B17A0" w:rsidRDefault="00E32CE7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E35A3" w:rsidRPr="004B17A0" w:rsidRDefault="00E32CE7" w:rsidP="00E32CE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Рис.2. Оборудование для лазерного сканирования КСС поверхности сварного стыкового </w:t>
      </w:r>
      <w:r w:rsidR="00901064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шва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труб</w:t>
      </w:r>
      <w:r w:rsidR="00901064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 пластин,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углового шва таврового соединения.</w:t>
      </w:r>
      <w:r w:rsidR="003E35A3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br w:type="page"/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</w:t>
      </w:r>
      <w:r w:rsidR="00901064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.10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Абсолютная погрешность и неопределенн</w:t>
      </w:r>
      <w:r w:rsidR="00E32CE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ость измерения 2</w:t>
      </w:r>
      <w:r w:rsidR="00E32CE7"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</w:t>
      </w:r>
      <w:r w:rsidR="00E32CE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лазерного датчика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высоте сварного шва не хуже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0,05 мм,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σ=0,03;</w:t>
      </w:r>
      <w:r w:rsidR="00D31CAD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ширине сварного шва 0,4 мм, σ=0,03.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901064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.11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Сканирование лицевой и корневой пов</w:t>
      </w:r>
      <w:r w:rsidR="00E32CE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ерхности сварного шва КСС выполняет эксперт 3</w:t>
      </w:r>
      <w:r w:rsidR="00E32CE7"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DLD</w:t>
      </w:r>
      <w:r w:rsidR="00E32CE7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применением программного обеспечения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 разработанного ООО «ДИЦ» МОСТ»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Результаты сканирования записываются в цифровом формате.</w:t>
      </w:r>
    </w:p>
    <w:p w:rsidR="004B6710" w:rsidRPr="004B17A0" w:rsidRDefault="00C052FB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3.12. Цифровая реплика поверхности сварного шва, выполненного сварщиком, визуализируется программными средствами в 3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в 2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изображениях на экране монитора, с возможностью детализации и измерений геометрических параметров формы шва в </w:t>
      </w:r>
      <w:r w:rsidR="00407AB6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автоматизированном и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ручном режиме рис. 3.</w:t>
      </w:r>
    </w:p>
    <w:p w:rsidR="00C052FB" w:rsidRPr="004B17A0" w:rsidRDefault="00C052FB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A0CA32B" wp14:editId="11DC8EC0">
            <wp:extent cx="3066002" cy="1517794"/>
            <wp:effectExtent l="0" t="0" r="1270" b="6350"/>
            <wp:docPr id="24" name="Рисунок 24" descr="C:\Сайт 3DLD заметки\Проведение конкурсов\Измеренное j 705 сечение 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Сайт 3DLD заметки\Проведение конкурсов\Измеренное j 705 сечение ш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04" cy="157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55D2554" wp14:editId="716DEF97">
            <wp:extent cx="2757366" cy="1393561"/>
            <wp:effectExtent l="0" t="0" r="5080" b="0"/>
            <wp:docPr id="26" name="Рисунок 26" descr="C:\Сайт 3DLD заметки\Проведение конкурсов\2D Сечение 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Сайт 3DLD заметки\Проведение конкурсов\2D Сечение 7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47" cy="141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FB" w:rsidRPr="004B17A0" w:rsidRDefault="00C052FB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Рис.3. 3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2</w:t>
      </w:r>
      <w:r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визуализация цифровой реплики поверхности сварного шва.</w:t>
      </w:r>
    </w:p>
    <w:p w:rsidR="000C7AF2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4C5A2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Определение ИКС выполняется с применением результатов сканирования по отклонению поверхности сварного шва от эталона по формуле:</w:t>
      </w:r>
    </w:p>
    <w:p w:rsidR="000C7AF2" w:rsidRPr="004B17A0" w:rsidRDefault="000C7AF2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QW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100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откл</m:t>
                          </m:r>
                        </m:sup>
                      </m:sSub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э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QW</w:t>
      </w:r>
      <w:r w:rsidRPr="004B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— индекс квалификации сварщика (ИКС);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4B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Lw/dLw + 1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— количество измеренных сечений сварного шва с шагом измерения 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dLw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большим или равным 0,1 мм;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Lw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длина сварного шва;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j</w:t>
      </w:r>
      <w:r w:rsidRPr="004B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– номер текущего значения, измеренного поперечного сечения сварного шва;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vertAlign w:val="superscript"/>
          <w:lang w:eastAsia="ru-RU"/>
        </w:rPr>
        <w:t>Э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площадь эталона</w:t>
      </w:r>
      <w:r w:rsidR="00053B22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vertAlign w:val="subscript"/>
          <w:lang w:eastAsia="ru-RU"/>
        </w:rPr>
        <w:t>j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vertAlign w:val="superscript"/>
          <w:lang w:eastAsia="ru-RU"/>
        </w:rPr>
        <w:t>ОТКЛ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— абсолютное отклонение площади </w:t>
      </w:r>
      <w:r w:rsidRPr="004B17A0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j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— го сечения поверхности сварного шва от площади эталона, которое определяется по формуле: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18D5929" wp14:editId="46A2438D">
            <wp:extent cx="2165230" cy="688157"/>
            <wp:effectExtent l="0" t="0" r="6985" b="0"/>
            <wp:docPr id="22" name="Рисунок 22" descr="2016-06-22_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-06-22_11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25" cy="69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6A" w:rsidRPr="004B17A0" w:rsidRDefault="00E4656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r w:rsidR="003E35A3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де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j</w:t>
      </w:r>
      <w:r w:rsidR="00471483" w:rsidRPr="004B17A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ОТКЛ</w:t>
      </w:r>
      <w:r w:rsidR="003E35A3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—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абсолютная величина отклонения формы поверхности сварного шва в </w:t>
      </w:r>
      <w:r w:rsidR="00A3626A" w:rsidRPr="004B17A0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j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ом сечении от внешней и внутренней формы эталона, которая определяется по формуле: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5A0640E7" wp14:editId="3CF4BF1A">
            <wp:extent cx="5533845" cy="959750"/>
            <wp:effectExtent l="0" t="0" r="0" b="0"/>
            <wp:docPr id="21" name="Рисунок 21" descr="2016-06-22_1115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-06-22_1115_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80" cy="9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4B17A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– ширина сканирования. Значения 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находятся в интервале от </w:t>
      </w:r>
      <w:r w:rsidR="00053B22" w:rsidRPr="004B17A0">
        <w:rPr>
          <w:rFonts w:ascii="Times New Roman" w:eastAsia="Times New Roman" w:hAnsi="Times New Roman" w:cs="Times New Roman"/>
          <w:lang w:eastAsia="ru-RU"/>
        </w:rPr>
        <w:t>1,5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vertAlign w:val="subscript"/>
          <w:lang w:eastAsia="ru-RU"/>
        </w:rPr>
        <w:t>max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до </w:t>
      </w:r>
      <w:r w:rsidR="00053B22" w:rsidRPr="004B17A0">
        <w:rPr>
          <w:rFonts w:ascii="Times New Roman" w:eastAsia="Times New Roman" w:hAnsi="Times New Roman" w:cs="Times New Roman"/>
          <w:lang w:eastAsia="ru-RU"/>
        </w:rPr>
        <w:t>3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vertAlign w:val="subscript"/>
          <w:lang w:eastAsia="ru-RU"/>
        </w:rPr>
        <w:t>max</w:t>
      </w:r>
      <w:r w:rsidR="00053B22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vertAlign w:val="subscript"/>
          <w:lang w:eastAsia="ru-RU"/>
        </w:rPr>
        <w:t>max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максимальная ширина сварного шва, устанавливается нормативно-техническими документами или требованиями Заявителя;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perscript"/>
          <w:lang w:eastAsia="ru-RU"/>
        </w:rPr>
        <w:t>Ф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j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(x)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– измеренные значения координат поверхности </w:t>
      </w:r>
      <w:r w:rsidRPr="004B17A0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j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го поперечного сечения сварного шва с шагом 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dx</w:t>
      </w:r>
      <w:r w:rsidR="003E35A3" w:rsidRPr="004B17A0">
        <w:rPr>
          <w:rFonts w:ascii="Times New Roman" w:eastAsia="Times New Roman" w:hAnsi="Times New Roman" w:cs="Times New Roman"/>
          <w:i/>
          <w:iCs/>
          <w:sz w:val="33"/>
          <w:szCs w:val="33"/>
          <w:bdr w:val="none" w:sz="0" w:space="0" w:color="auto" w:frame="1"/>
          <w:lang w:eastAsia="ru-RU"/>
        </w:rPr>
        <w:t xml:space="preserve"> 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от 0,1мм до 1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мм;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Z, x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– координаты в системе координат 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Z0X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perscript"/>
          <w:lang w:eastAsia="ru-RU"/>
        </w:rPr>
        <w:t>Эmax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(х)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кривая, определяющая внешнюю форму эталона сварного шва;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perscript"/>
          <w:lang w:eastAsia="ru-RU"/>
        </w:rPr>
        <w:t>Эmin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(х)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— кривая, определяющая внутреннюю форму эталона сварного шва.</w:t>
      </w:r>
    </w:p>
    <w:p w:rsidR="00A3626A" w:rsidRPr="004B17A0" w:rsidRDefault="00A3626A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Внешнюю 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perscript"/>
          <w:lang w:eastAsia="ru-RU"/>
        </w:rPr>
        <w:t>Эmax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(х)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и внутреннюю 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perscript"/>
          <w:lang w:eastAsia="ru-RU"/>
        </w:rPr>
        <w:t>Эmin</w:t>
      </w: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(х)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 формы эталонных кривых сварного шва в любом пространственном положении вычисляют согласно установленным нормативно-техническими документами или требованиям Заявителя по предельным значениям ширины (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 и высоты (</w:t>
      </w:r>
      <w:r w:rsidRPr="004B1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</w:t>
      </w: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 сечения выпуклости сварного шва с учетом физико- механического свойства расплавленного материала сварного решением интегро-дифференциального уравнения: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454127A" wp14:editId="7855977A">
            <wp:extent cx="2599055" cy="678815"/>
            <wp:effectExtent l="0" t="0" r="0" b="6985"/>
            <wp:docPr id="20" name="Рисунок 20" descr="2016-06-22_1115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6-06-22_1115_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40" cy="6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40" w:rsidRPr="004B17A0" w:rsidRDefault="00AD5F40" w:rsidP="00AD5F40">
      <w:pPr>
        <w:tabs>
          <w:tab w:val="left" w:pos="567"/>
        </w:tabs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де</w:t>
      </w:r>
    </w:p>
    <w:p w:rsidR="00AD5F40" w:rsidRPr="004B17A0" w:rsidRDefault="00AD5F40" w:rsidP="00AD5F40">
      <w:pP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color w:val="000000"/>
          <w:position w:val="-6"/>
          <w:sz w:val="32"/>
          <w:szCs w:val="32"/>
          <w:lang w:eastAsia="ru-RU"/>
        </w:rPr>
        <w:object w:dxaOrig="144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OLE7" o:spid="_x0000_i1025" type="#_x0000_t75" style="width:7.95pt;height:15pt;visibility:visible;mso-wrap-distance-left:0;mso-wrap-distance-right:0" o:ole="" o:preferrelative="f">
            <v:imagedata r:id="rId15" o:title="" gamma="1"/>
            <o:lock v:ext="edit" rotation="t" aspectratio="f" shapetype="t"/>
          </v:shape>
          <o:OLEObject Type="Embed" ProgID="Equation.3" ShapeID="ОбъектOLE7" DrawAspect="Content" ObjectID="_1614496447" r:id="rId16"/>
        </w:objec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расстояние от начальной точки эталонной кривой до точки расчета измеренное вдоль кривой, значение </w:t>
      </w:r>
      <w:r w:rsidRPr="004B17A0">
        <w:rPr>
          <w:rFonts w:ascii="Times New Roman" w:eastAsia="Times New Roman" w:hAnsi="Times New Roman" w:cs="Times New Roman"/>
          <w:color w:val="000000"/>
          <w:position w:val="-6"/>
          <w:sz w:val="21"/>
          <w:szCs w:val="21"/>
          <w:lang w:eastAsia="ru-RU"/>
        </w:rPr>
        <w:object w:dxaOrig="144" w:dyaOrig="300">
          <v:shape id="_x0000_i1026" type="#_x0000_t75" style="width:7.95pt;height:15pt;visibility:visible;mso-wrap-distance-left:0;mso-wrap-distance-right:0" o:ole="" o:preferrelative="f">
            <v:imagedata r:id="rId15" o:title="" gamma="1"/>
            <o:lock v:ext="edit" rotation="t" aspectratio="f" shapetype="t"/>
          </v:shape>
          <o:OLEObject Type="Embed" ProgID="Equation.3" ShapeID="_x0000_i1026" DrawAspect="Content" ObjectID="_1614496448" r:id="rId17"/>
        </w:objec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изменяются от 0 до</w:t>
      </w:r>
      <w:r w:rsidRPr="004B1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L</w: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AD5F40" w:rsidRPr="004B17A0" w:rsidRDefault="00AD5F40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L</w: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-длина эталонной кривой сварного шва;</w:t>
      </w:r>
    </w:p>
    <w:p w:rsidR="00AD5F40" w:rsidRPr="004B17A0" w:rsidRDefault="00AD5F40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</w:t>
      </w:r>
      <w:r w:rsidRPr="004B17A0">
        <w:rPr>
          <w:rFonts w:ascii="Times New Roman" w:eastAsia="Times New Roman" w:hAnsi="Times New Roman" w:cs="Times New Roman"/>
          <w:i/>
          <w:color w:val="000000"/>
          <w:position w:val="-6"/>
          <w:sz w:val="28"/>
          <w:szCs w:val="28"/>
          <w:lang w:eastAsia="ru-RU"/>
        </w:rPr>
        <w:object w:dxaOrig="144" w:dyaOrig="300">
          <v:shape id="_x0000_i1027" type="#_x0000_t75" style="width:7.95pt;height:15pt;visibility:visible;mso-wrap-distance-left:0;mso-wrap-distance-right:0" o:ole="" o:preferrelative="f">
            <v:imagedata r:id="rId15" o:title="" gamma="1"/>
            <o:lock v:ext="edit" rotation="t" aspectratio="f" shapetype="t"/>
          </v:shape>
          <o:OLEObject Type="Embed" ProgID="Equation.3" ShapeID="_x0000_i1027" DrawAspect="Content" ObjectID="_1614496449" r:id="rId18"/>
        </w:objec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 </w:t>
      </w:r>
      <w:proofErr w:type="gramStart"/>
      <w:r w:rsidR="00471483"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шаг</w:t>
      </w:r>
      <w:proofErr w:type="gramEnd"/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дифференцирования</w:t>
      </w:r>
      <w:r w:rsidRPr="004B17A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вдоль эталонной кривой</w:t>
      </w:r>
      <w:r w:rsidRPr="004B17A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;</w:t>
      </w:r>
    </w:p>
    <w:p w:rsidR="00AD5F40" w:rsidRPr="004B17A0" w:rsidRDefault="00AD5F40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dλ</w:t>
      </w:r>
      <w:r w:rsidRPr="004B17A0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-шаг интегрирования вдоль эталонной кривой;</w:t>
      </w:r>
    </w:p>
    <w:p w:rsidR="00AD5F40" w:rsidRPr="004B17A0" w:rsidRDefault="00D14A72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τ(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l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)</m:t>
        </m:r>
      </m:oMath>
      <w:r w:rsidR="00AD5F40" w:rsidRPr="004B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5F40"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угол наклона касательной эталонной кривой к горизонту, в расчетной точке; </w:t>
      </w:r>
    </w:p>
    <w:p w:rsidR="00AD5F40" w:rsidRPr="004B17A0" w:rsidRDefault="00AD5F40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k</w:t>
      </w:r>
      <w:r w:rsidRPr="004B17A0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0</w:t>
      </w:r>
      <w:r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кривизна эталонной кривой сварного шва в начальной точке, определяемая в ходе решения уравнения;</w:t>
      </w:r>
    </w:p>
    <w:p w:rsidR="00AD5F40" w:rsidRPr="004B17A0" w:rsidRDefault="004B17A0" w:rsidP="00AD5F40">
      <w:pPr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m:t>k</m:t>
            </m:r>
          </m:sub>
        </m:sSub>
      </m:oMath>
      <w:r w:rsidR="00E46568" w:rsidRPr="004B17A0">
        <w:rPr>
          <w:rFonts w:ascii="Times New Roman" w:eastAsia="Times New Roman" w:hAnsi="Times New Roman" w:cs="Times New Roman"/>
          <w:color w:val="000000"/>
          <w:sz w:val="21"/>
          <w:szCs w:val="21"/>
          <w:vertAlign w:val="subscript"/>
          <w:lang w:eastAsia="ru-RU"/>
        </w:rPr>
        <w:t xml:space="preserve"> </w:t>
      </w:r>
      <w:r w:rsidR="00AD5F40"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физико-механическое свойство расплавленного материала сварного шва - капиллярная постоянная. </w:t>
      </w:r>
    </w:p>
    <w:p w:rsidR="00AD5F40" w:rsidRPr="004B17A0" w:rsidRDefault="00D14A72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δ</m:t>
        </m:r>
      </m:oMath>
      <w:r w:rsidR="00AD5F40"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угол продольного наклона сварного шва;</w:t>
      </w:r>
    </w:p>
    <w:p w:rsidR="00AD5F40" w:rsidRPr="004B17A0" w:rsidRDefault="00D14A72" w:rsidP="00AD5F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φ</m:t>
        </m:r>
      </m:oMath>
      <w:r w:rsidR="00AD5F40" w:rsidRPr="004B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F40" w:rsidRPr="004B17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угол поперечного наклона сварного шва.</w:t>
      </w:r>
    </w:p>
    <w:p w:rsidR="00A3626A" w:rsidRPr="004B17A0" w:rsidRDefault="000C7AF2" w:rsidP="00A3626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Z(x)</w:t>
      </w:r>
      <w:r w:rsidRPr="004B17A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 -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уравнение, описывающее эталонные кривые сварного шва, записы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вается в параметрической форме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и имеет вид: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06A11644" wp14:editId="6CDFD464">
            <wp:extent cx="3627407" cy="1063605"/>
            <wp:effectExtent l="0" t="0" r="0" b="3810"/>
            <wp:docPr id="19" name="Рисунок 19" descr="2016-06-22_1115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-06-22_1115_0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73" cy="109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Площадь эталона рассчитывают по формуле:</w:t>
      </w:r>
    </w:p>
    <w:p w:rsidR="00A3626A" w:rsidRPr="004B17A0" w:rsidRDefault="00A3626A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61E3E82D" wp14:editId="7F4EFD41">
            <wp:extent cx="3032185" cy="702185"/>
            <wp:effectExtent l="0" t="0" r="0" b="3175"/>
            <wp:docPr id="18" name="Рисунок 18" descr="2016-06-22_1115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6-06-22_1115_0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481" cy="72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.14. Оп</w:t>
      </w:r>
      <w:r w:rsidR="00AF3631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ределение ИКС и формирование Сертификата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оценки квалификации </w:t>
      </w:r>
      <w:r w:rsidR="0005251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сварщика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202F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выполняется программой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202F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автоматически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корневой и лицевой поверхности сварного шва КСС.</w:t>
      </w:r>
      <w:r w:rsidR="00724B84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</w:t>
      </w:r>
      <w:r w:rsidR="00A97056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орма Сертификата оценки квалификации сварщика при проведении отраслевых, региональных республиканских и национальных конкурсов сварщиков приведена ниже по тексту.</w:t>
      </w:r>
    </w:p>
    <w:p w:rsidR="00A97056" w:rsidRPr="004B17A0" w:rsidRDefault="00A97056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456B0EF" wp14:editId="5CCE8049">
            <wp:extent cx="4437529" cy="5432103"/>
            <wp:effectExtent l="0" t="0" r="1270" b="0"/>
            <wp:docPr id="36" name="Рисунок 36" descr="C:\Сайт 3DLD заметки\Сертификат Гашим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Сайт 3DLD заметки\Сертификат Гашимов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4" cy="550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F3631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.15. Сертификат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оценки к</w:t>
      </w:r>
      <w:r w:rsidR="00407AB6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валификации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сварщика </w:t>
      </w:r>
      <w:r w:rsidR="00724B84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подписывает эксперт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DLD</w:t>
      </w:r>
      <w:r w:rsidR="005838D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проводивший</w:t>
      </w:r>
      <w:r w:rsidR="008A229F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сканирование КСС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3626A" w:rsidRPr="004B17A0" w:rsidRDefault="004A3B28" w:rsidP="00A3626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</w:t>
      </w:r>
      <w:r w:rsidR="004202FB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.16</w:t>
      </w:r>
      <w:r w:rsidR="00AF3631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. Сертификат</w:t>
      </w:r>
      <w:r w:rsidR="00BA470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подтверждает 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практические навыки сварщика на момент </w:t>
      </w:r>
      <w:r w:rsidR="00BA470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проведения испытаний (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сварки КСС</w:t>
      </w:r>
      <w:r w:rsidR="00BA4700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A3626A" w:rsidRPr="004B17A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имеет распространения на другие способы сварки и КСС.</w:t>
      </w:r>
    </w:p>
    <w:p w:rsidR="00A3626A" w:rsidRPr="004B17A0" w:rsidRDefault="004A3B28" w:rsidP="0005251A">
      <w:pPr>
        <w:pStyle w:val="a7"/>
        <w:rPr>
          <w:rFonts w:ascii="Times New Roman" w:eastAsia="Times New Roman" w:hAnsi="Times New Roman" w:cs="Times New Roman"/>
          <w:lang w:eastAsia="ru-RU"/>
        </w:rPr>
      </w:pPr>
      <w:r w:rsidRPr="004B17A0">
        <w:rPr>
          <w:rFonts w:ascii="Times New Roman" w:eastAsia="Times New Roman" w:hAnsi="Times New Roman" w:cs="Times New Roman"/>
          <w:lang w:eastAsia="ru-RU"/>
        </w:rPr>
        <w:t>3</w:t>
      </w:r>
      <w:r w:rsidR="004202FB" w:rsidRPr="004B17A0">
        <w:rPr>
          <w:rFonts w:ascii="Times New Roman" w:eastAsia="Times New Roman" w:hAnsi="Times New Roman" w:cs="Times New Roman"/>
          <w:lang w:eastAsia="ru-RU"/>
        </w:rPr>
        <w:t>.17</w:t>
      </w:r>
      <w:r w:rsidR="00A3626A" w:rsidRPr="004B17A0">
        <w:rPr>
          <w:rFonts w:ascii="Times New Roman" w:eastAsia="Times New Roman" w:hAnsi="Times New Roman" w:cs="Times New Roman"/>
          <w:lang w:eastAsia="ru-RU"/>
        </w:rPr>
        <w:t>. Соответствие ИКС разряду сварщика по ЕТКС и профессио</w:t>
      </w:r>
      <w:r w:rsidR="004C5A2A" w:rsidRPr="004B17A0">
        <w:rPr>
          <w:rFonts w:ascii="Times New Roman" w:eastAsia="Times New Roman" w:hAnsi="Times New Roman" w:cs="Times New Roman"/>
          <w:lang w:eastAsia="ru-RU"/>
        </w:rPr>
        <w:t xml:space="preserve">нальному стандарту «Сварщик» определено в </w:t>
      </w:r>
      <w:r w:rsidR="0005251A" w:rsidRPr="004B17A0">
        <w:rPr>
          <w:rFonts w:ascii="Times New Roman" w:hAnsi="Times New Roman" w:cs="Times New Roman"/>
        </w:rPr>
        <w:t>Правилах «Системы добровольной сертификации квалификации сварщиков при сварке плавлением» рег</w:t>
      </w:r>
      <w:r w:rsidR="007552EF" w:rsidRPr="004B17A0">
        <w:rPr>
          <w:rFonts w:ascii="Times New Roman" w:hAnsi="Times New Roman" w:cs="Times New Roman"/>
        </w:rPr>
        <w:t xml:space="preserve">истрационный номер системы </w:t>
      </w:r>
      <w:r w:rsidR="007552EF" w:rsidRPr="004B17A0">
        <w:rPr>
          <w:rFonts w:ascii="Times New Roman" w:hAnsi="Times New Roman" w:cs="Times New Roman"/>
          <w:i/>
          <w:color w:val="000080"/>
          <w:shd w:val="clear" w:color="auto" w:fill="FFFFFF"/>
        </w:rPr>
        <w:t>РОСС RU.З1452.04ИГС0</w:t>
      </w:r>
      <w:r w:rsidR="007552EF" w:rsidRPr="004B17A0">
        <w:rPr>
          <w:rFonts w:ascii="Times New Roman" w:hAnsi="Times New Roman" w:cs="Times New Roman"/>
        </w:rPr>
        <w:t>.</w:t>
      </w:r>
      <w:r w:rsidR="0005251A" w:rsidRPr="004B17A0">
        <w:rPr>
          <w:rFonts w:ascii="Times New Roman" w:eastAsia="Times New Roman" w:hAnsi="Times New Roman" w:cs="Times New Roman"/>
          <w:lang w:eastAsia="ru-RU"/>
        </w:rPr>
        <w:t xml:space="preserve">Таблица соответствия ИКС квалификационному разряду и уровню сварщика приведена ниже по тексту. </w:t>
      </w:r>
    </w:p>
    <w:p w:rsidR="007A187C" w:rsidRPr="004B17A0" w:rsidRDefault="007A187C" w:rsidP="0005251A">
      <w:pPr>
        <w:pStyle w:val="a7"/>
        <w:rPr>
          <w:rFonts w:ascii="Times New Roman" w:eastAsia="Times New Roman" w:hAnsi="Times New Roman" w:cs="Times New Roman"/>
          <w:lang w:eastAsia="ru-RU"/>
        </w:rPr>
      </w:pPr>
    </w:p>
    <w:p w:rsidR="007A187C" w:rsidRPr="004B17A0" w:rsidRDefault="007A187C" w:rsidP="0005251A">
      <w:pPr>
        <w:pStyle w:val="a7"/>
        <w:rPr>
          <w:rFonts w:ascii="Times New Roman" w:eastAsia="Times New Roman" w:hAnsi="Times New Roman" w:cs="Times New Roman"/>
          <w:lang w:eastAsia="ru-RU"/>
        </w:rPr>
      </w:pP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</w:r>
      <w:r w:rsidRPr="004B17A0">
        <w:rPr>
          <w:rFonts w:ascii="Times New Roman" w:eastAsia="Times New Roman" w:hAnsi="Times New Roman" w:cs="Times New Roman"/>
          <w:lang w:eastAsia="ru-RU"/>
        </w:rPr>
        <w:tab/>
        <w:t>Таблица</w:t>
      </w:r>
    </w:p>
    <w:tbl>
      <w:tblPr>
        <w:tblpPr w:leftFromText="180" w:rightFromText="18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2310"/>
        <w:gridCol w:w="2393"/>
      </w:tblGrid>
      <w:tr w:rsidR="007A187C" w:rsidRPr="004B17A0" w:rsidTr="00E6446A">
        <w:tc>
          <w:tcPr>
            <w:tcW w:w="4174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b/>
              </w:rPr>
            </w:pPr>
            <w:r w:rsidRPr="004B17A0">
              <w:rPr>
                <w:b/>
              </w:rPr>
              <w:t>Уровень квалификации сварщика</w:t>
            </w:r>
          </w:p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b/>
              </w:rPr>
            </w:pPr>
            <w:r w:rsidRPr="004B17A0">
              <w:rPr>
                <w:b/>
              </w:rPr>
              <w:t>по профессиональному стандарту «Сварщик»</w:t>
            </w: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b/>
              </w:rPr>
            </w:pPr>
            <w:r w:rsidRPr="004B17A0">
              <w:rPr>
                <w:b/>
              </w:rPr>
              <w:t>Разряд сварщика</w:t>
            </w:r>
          </w:p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b/>
              </w:rPr>
            </w:pPr>
            <w:r w:rsidRPr="004B17A0">
              <w:rPr>
                <w:b/>
              </w:rPr>
              <w:t>по ЕТКС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1282"/>
              </w:tabs>
              <w:spacing w:line="360" w:lineRule="auto"/>
              <w:ind w:left="0" w:right="1362"/>
              <w:jc w:val="center"/>
              <w:rPr>
                <w:b/>
              </w:rPr>
            </w:pPr>
            <w:r w:rsidRPr="004B17A0">
              <w:rPr>
                <w:b/>
              </w:rPr>
              <w:t>ИКС, в баллах</w:t>
            </w:r>
          </w:p>
        </w:tc>
      </w:tr>
      <w:tr w:rsidR="007A187C" w:rsidRPr="004B17A0" w:rsidTr="00E6446A">
        <w:trPr>
          <w:trHeight w:val="255"/>
        </w:trPr>
        <w:tc>
          <w:tcPr>
            <w:tcW w:w="4174" w:type="dxa"/>
            <w:vMerge w:val="restart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  <w:r w:rsidRPr="004B17A0">
              <w:t>2 (сварщик)</w:t>
            </w: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</w:pPr>
            <w:r w:rsidRPr="004B17A0">
              <w:t>2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</w:pPr>
            <w:r w:rsidRPr="004B17A0">
              <w:t>51-60</w:t>
            </w:r>
          </w:p>
        </w:tc>
      </w:tr>
      <w:tr w:rsidR="007A187C" w:rsidRPr="004B17A0" w:rsidTr="00E6446A">
        <w:trPr>
          <w:trHeight w:val="285"/>
        </w:trPr>
        <w:tc>
          <w:tcPr>
            <w:tcW w:w="4174" w:type="dxa"/>
            <w:vMerge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</w:pPr>
            <w:r w:rsidRPr="004B17A0">
              <w:rPr>
                <w:lang w:val="en-US"/>
              </w:rPr>
              <w:t>61-70</w:t>
            </w:r>
          </w:p>
        </w:tc>
      </w:tr>
      <w:tr w:rsidR="007A187C" w:rsidRPr="004B17A0" w:rsidTr="00E6446A">
        <w:trPr>
          <w:trHeight w:val="330"/>
        </w:trPr>
        <w:tc>
          <w:tcPr>
            <w:tcW w:w="4174" w:type="dxa"/>
            <w:vMerge w:val="restart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  <w:r w:rsidRPr="004B17A0">
              <w:t>3 (сварщик)</w:t>
            </w: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71-80</w:t>
            </w:r>
          </w:p>
        </w:tc>
      </w:tr>
      <w:tr w:rsidR="007A187C" w:rsidRPr="004B17A0" w:rsidTr="00E6446A">
        <w:trPr>
          <w:trHeight w:val="210"/>
        </w:trPr>
        <w:tc>
          <w:tcPr>
            <w:tcW w:w="4174" w:type="dxa"/>
            <w:vMerge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81-90</w:t>
            </w:r>
          </w:p>
        </w:tc>
      </w:tr>
      <w:tr w:rsidR="007A187C" w:rsidRPr="004B17A0" w:rsidTr="00E6446A">
        <w:trPr>
          <w:trHeight w:val="300"/>
        </w:trPr>
        <w:tc>
          <w:tcPr>
            <w:tcW w:w="4174" w:type="dxa"/>
            <w:vMerge w:val="restart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  <w:r w:rsidRPr="004B17A0">
              <w:t>4 (сварщик)</w:t>
            </w: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81-90</w:t>
            </w:r>
          </w:p>
        </w:tc>
      </w:tr>
      <w:tr w:rsidR="007A187C" w:rsidRPr="004B17A0" w:rsidTr="00E6446A">
        <w:trPr>
          <w:trHeight w:val="255"/>
        </w:trPr>
        <w:tc>
          <w:tcPr>
            <w:tcW w:w="4174" w:type="dxa"/>
            <w:vMerge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</w:p>
        </w:tc>
        <w:tc>
          <w:tcPr>
            <w:tcW w:w="2310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91-100</w:t>
            </w:r>
          </w:p>
        </w:tc>
      </w:tr>
      <w:tr w:rsidR="007A187C" w:rsidRPr="004B17A0" w:rsidTr="00E6446A">
        <w:tc>
          <w:tcPr>
            <w:tcW w:w="4174" w:type="dxa"/>
            <w:shd w:val="clear" w:color="auto" w:fill="auto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</w:pPr>
            <w:r w:rsidRPr="004B17A0">
              <w:t>4 (сварщик бригадир, сварщик производственного обучения)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7A187C" w:rsidRPr="004B17A0" w:rsidRDefault="007A187C" w:rsidP="00E6446A">
            <w:pPr>
              <w:pStyle w:val="a9"/>
              <w:tabs>
                <w:tab w:val="left" w:pos="567"/>
                <w:tab w:val="left" w:pos="709"/>
                <w:tab w:val="left" w:pos="1276"/>
              </w:tabs>
              <w:spacing w:line="360" w:lineRule="auto"/>
              <w:ind w:left="0" w:right="-427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A187C" w:rsidRPr="004B17A0" w:rsidRDefault="007A187C" w:rsidP="00E6446A">
            <w:pPr>
              <w:pStyle w:val="a9"/>
              <w:tabs>
                <w:tab w:val="left" w:pos="202"/>
              </w:tabs>
              <w:spacing w:line="360" w:lineRule="auto"/>
              <w:ind w:left="0" w:right="1362"/>
              <w:jc w:val="center"/>
              <w:rPr>
                <w:lang w:val="en-US"/>
              </w:rPr>
            </w:pPr>
            <w:r w:rsidRPr="004B17A0">
              <w:rPr>
                <w:lang w:val="en-US"/>
              </w:rPr>
              <w:t>91-100</w:t>
            </w:r>
          </w:p>
        </w:tc>
      </w:tr>
    </w:tbl>
    <w:p w:rsidR="007A187C" w:rsidRDefault="007A187C" w:rsidP="0005251A">
      <w:pPr>
        <w:pStyle w:val="a7"/>
        <w:rPr>
          <w:rFonts w:ascii="Arial" w:eastAsia="Times New Roman" w:hAnsi="Arial" w:cs="Arial"/>
          <w:lang w:eastAsia="ru-RU"/>
        </w:rPr>
      </w:pPr>
    </w:p>
    <w:sectPr w:rsidR="007A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4F"/>
    <w:rsid w:val="0005251A"/>
    <w:rsid w:val="00053B22"/>
    <w:rsid w:val="000638F6"/>
    <w:rsid w:val="000872FC"/>
    <w:rsid w:val="000C10EE"/>
    <w:rsid w:val="000C7AF2"/>
    <w:rsid w:val="0022414F"/>
    <w:rsid w:val="00252D49"/>
    <w:rsid w:val="003E35A3"/>
    <w:rsid w:val="00407AB6"/>
    <w:rsid w:val="004202FB"/>
    <w:rsid w:val="00471483"/>
    <w:rsid w:val="00491B3C"/>
    <w:rsid w:val="004A3B28"/>
    <w:rsid w:val="004B17A0"/>
    <w:rsid w:val="004B6710"/>
    <w:rsid w:val="004C5A2A"/>
    <w:rsid w:val="005838DB"/>
    <w:rsid w:val="005E1AAC"/>
    <w:rsid w:val="006B0294"/>
    <w:rsid w:val="00724B84"/>
    <w:rsid w:val="007552EF"/>
    <w:rsid w:val="00757427"/>
    <w:rsid w:val="007A187C"/>
    <w:rsid w:val="008925A3"/>
    <w:rsid w:val="008A229F"/>
    <w:rsid w:val="00901064"/>
    <w:rsid w:val="00A26B14"/>
    <w:rsid w:val="00A333DB"/>
    <w:rsid w:val="00A3626A"/>
    <w:rsid w:val="00A97056"/>
    <w:rsid w:val="00A972BD"/>
    <w:rsid w:val="00AD5F40"/>
    <w:rsid w:val="00AF3631"/>
    <w:rsid w:val="00BA4700"/>
    <w:rsid w:val="00C052FB"/>
    <w:rsid w:val="00C15D2E"/>
    <w:rsid w:val="00C34F97"/>
    <w:rsid w:val="00D14A72"/>
    <w:rsid w:val="00D17688"/>
    <w:rsid w:val="00D31CAD"/>
    <w:rsid w:val="00E32CE7"/>
    <w:rsid w:val="00E46568"/>
    <w:rsid w:val="00E479D3"/>
    <w:rsid w:val="00E942F3"/>
    <w:rsid w:val="00F16B7B"/>
    <w:rsid w:val="00F44615"/>
    <w:rsid w:val="00F70A6F"/>
    <w:rsid w:val="00F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6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62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62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626A"/>
    <w:rPr>
      <w:b/>
      <w:bCs/>
    </w:rPr>
  </w:style>
  <w:style w:type="character" w:styleId="a6">
    <w:name w:val="Emphasis"/>
    <w:basedOn w:val="a0"/>
    <w:uiPriority w:val="20"/>
    <w:qFormat/>
    <w:rsid w:val="00A3626A"/>
    <w:rPr>
      <w:i/>
      <w:iCs/>
    </w:rPr>
  </w:style>
  <w:style w:type="paragraph" w:styleId="a7">
    <w:name w:val="No Spacing"/>
    <w:uiPriority w:val="1"/>
    <w:qFormat/>
    <w:rsid w:val="0005251A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A97056"/>
    <w:rPr>
      <w:color w:val="808080"/>
    </w:rPr>
  </w:style>
  <w:style w:type="paragraph" w:styleId="a9">
    <w:name w:val="List Paragraph"/>
    <w:basedOn w:val="a"/>
    <w:qFormat/>
    <w:rsid w:val="007A187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4B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1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6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62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62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626A"/>
    <w:rPr>
      <w:b/>
      <w:bCs/>
    </w:rPr>
  </w:style>
  <w:style w:type="character" w:styleId="a6">
    <w:name w:val="Emphasis"/>
    <w:basedOn w:val="a0"/>
    <w:uiPriority w:val="20"/>
    <w:qFormat/>
    <w:rsid w:val="00A3626A"/>
    <w:rPr>
      <w:i/>
      <w:iCs/>
    </w:rPr>
  </w:style>
  <w:style w:type="paragraph" w:styleId="a7">
    <w:name w:val="No Spacing"/>
    <w:uiPriority w:val="1"/>
    <w:qFormat/>
    <w:rsid w:val="0005251A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A97056"/>
    <w:rPr>
      <w:color w:val="808080"/>
    </w:rPr>
  </w:style>
  <w:style w:type="paragraph" w:styleId="a9">
    <w:name w:val="List Paragraph"/>
    <w:basedOn w:val="a"/>
    <w:qFormat/>
    <w:rsid w:val="007A187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4B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1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8189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934">
              <w:marLeft w:val="6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1A1A1"/>
                <w:right w:val="none" w:sz="0" w:space="0" w:color="auto"/>
              </w:divBdr>
            </w:div>
          </w:divsChild>
        </w:div>
        <w:div w:id="929586675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8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2019-03-08T16:32:00Z</dcterms:created>
  <dcterms:modified xsi:type="dcterms:W3CDTF">2019-03-19T06:28:00Z</dcterms:modified>
</cp:coreProperties>
</file>